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DFEB5" w14:textId="4A19ED5A" w:rsidR="00BA568B" w:rsidRDefault="00BA568B" w:rsidP="00627425">
      <w:pPr>
        <w:spacing w:after="0" w:line="240" w:lineRule="auto"/>
        <w:jc w:val="right"/>
      </w:pPr>
      <w:r>
        <w:rPr>
          <w:rFonts w:ascii="Helvetica" w:hAnsi="Helvetica"/>
          <w:noProof/>
          <w:sz w:val="28"/>
          <w:szCs w:val="28"/>
        </w:rPr>
        <w:drawing>
          <wp:anchor distT="0" distB="0" distL="114300" distR="114300" simplePos="0" relativeHeight="251659264" behindDoc="0" locked="0" layoutInCell="1" allowOverlap="1" wp14:anchorId="03716542" wp14:editId="3FF4DA4B">
            <wp:simplePos x="0" y="0"/>
            <wp:positionH relativeFrom="margin">
              <wp:align>center</wp:align>
            </wp:positionH>
            <wp:positionV relativeFrom="page">
              <wp:posOffset>248561</wp:posOffset>
            </wp:positionV>
            <wp:extent cx="2642616" cy="1042416"/>
            <wp:effectExtent l="0" t="0" r="571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tlin De Chiara Logo.jpg"/>
                    <pic:cNvPicPr/>
                  </pic:nvPicPr>
                  <pic:blipFill>
                    <a:blip r:embed="rId8">
                      <a:extLst>
                        <a:ext uri="{28A0092B-C50C-407E-A947-70E740481C1C}">
                          <a14:useLocalDpi xmlns:a14="http://schemas.microsoft.com/office/drawing/2010/main" val="0"/>
                        </a:ext>
                      </a:extLst>
                    </a:blip>
                    <a:stretch>
                      <a:fillRect/>
                    </a:stretch>
                  </pic:blipFill>
                  <pic:spPr>
                    <a:xfrm>
                      <a:off x="0" y="0"/>
                      <a:ext cx="2642616" cy="1042416"/>
                    </a:xfrm>
                    <a:prstGeom prst="rect">
                      <a:avLst/>
                    </a:prstGeom>
                  </pic:spPr>
                </pic:pic>
              </a:graphicData>
            </a:graphic>
            <wp14:sizeRelH relativeFrom="margin">
              <wp14:pctWidth>0</wp14:pctWidth>
            </wp14:sizeRelH>
            <wp14:sizeRelV relativeFrom="margin">
              <wp14:pctHeight>0</wp14:pctHeight>
            </wp14:sizeRelV>
          </wp:anchor>
        </w:drawing>
      </w:r>
    </w:p>
    <w:p w14:paraId="3ABBDD42" w14:textId="1BB356E9" w:rsidR="00BA568B" w:rsidRDefault="00BA568B" w:rsidP="00627425">
      <w:pPr>
        <w:spacing w:after="0" w:line="240" w:lineRule="auto"/>
        <w:jc w:val="right"/>
      </w:pPr>
    </w:p>
    <w:p w14:paraId="2837E4FE" w14:textId="77777777" w:rsidR="00BA568B" w:rsidRDefault="00BA568B" w:rsidP="00627425">
      <w:pPr>
        <w:spacing w:after="0" w:line="240" w:lineRule="auto"/>
        <w:jc w:val="right"/>
      </w:pPr>
    </w:p>
    <w:p w14:paraId="176BC610" w14:textId="320668C1" w:rsidR="00627425" w:rsidRDefault="00B61ED0" w:rsidP="00B61ED0">
      <w:pPr>
        <w:spacing w:after="0" w:line="240" w:lineRule="auto"/>
        <w:jc w:val="right"/>
      </w:pPr>
      <w:r>
        <w:t>For Immediate Release</w:t>
      </w:r>
    </w:p>
    <w:p w14:paraId="3AED6F9B" w14:textId="77777777" w:rsidR="00B61ED0" w:rsidRDefault="00B61ED0" w:rsidP="005050F2">
      <w:pPr>
        <w:spacing w:after="0" w:line="240" w:lineRule="auto"/>
        <w:rPr>
          <w:sz w:val="32"/>
          <w:szCs w:val="32"/>
        </w:rPr>
      </w:pPr>
    </w:p>
    <w:p w14:paraId="1BBBD4D4" w14:textId="01336B4F" w:rsidR="003829AD" w:rsidRPr="00006118" w:rsidRDefault="00627425" w:rsidP="00627425">
      <w:pPr>
        <w:spacing w:after="0" w:line="240" w:lineRule="auto"/>
        <w:jc w:val="center"/>
        <w:rPr>
          <w:b/>
          <w:bCs/>
          <w:sz w:val="32"/>
          <w:szCs w:val="32"/>
        </w:rPr>
      </w:pPr>
      <w:r w:rsidRPr="00006118">
        <w:rPr>
          <w:b/>
          <w:bCs/>
          <w:sz w:val="32"/>
          <w:szCs w:val="32"/>
        </w:rPr>
        <w:t>ABA’s Revised &amp; Updated CONSTRUCTION LAW, 2</w:t>
      </w:r>
      <w:r w:rsidRPr="00006118">
        <w:rPr>
          <w:b/>
          <w:bCs/>
          <w:sz w:val="32"/>
          <w:szCs w:val="32"/>
          <w:vertAlign w:val="superscript"/>
        </w:rPr>
        <w:t>nd</w:t>
      </w:r>
      <w:r w:rsidRPr="00006118">
        <w:rPr>
          <w:b/>
          <w:bCs/>
          <w:sz w:val="32"/>
          <w:szCs w:val="32"/>
        </w:rPr>
        <w:t xml:space="preserve"> Edition </w:t>
      </w:r>
    </w:p>
    <w:p w14:paraId="26761B64" w14:textId="77777777" w:rsidR="00FC1A21" w:rsidRDefault="00FC1A21" w:rsidP="00627425">
      <w:pPr>
        <w:spacing w:after="0" w:line="240" w:lineRule="auto"/>
        <w:jc w:val="center"/>
        <w:rPr>
          <w:sz w:val="28"/>
          <w:szCs w:val="28"/>
        </w:rPr>
      </w:pPr>
    </w:p>
    <w:p w14:paraId="402F747F" w14:textId="499FDC45" w:rsidR="00B61ED0" w:rsidRDefault="003B366D" w:rsidP="00627425">
      <w:pPr>
        <w:spacing w:after="0" w:line="240" w:lineRule="auto"/>
        <w:jc w:val="center"/>
        <w:rPr>
          <w:i/>
          <w:iCs/>
          <w:sz w:val="32"/>
          <w:szCs w:val="32"/>
        </w:rPr>
      </w:pPr>
      <w:r>
        <w:rPr>
          <w:i/>
          <w:iCs/>
          <w:sz w:val="32"/>
          <w:szCs w:val="32"/>
        </w:rPr>
        <w:t xml:space="preserve">Lead Editor </w:t>
      </w:r>
      <w:r w:rsidRPr="003B366D">
        <w:rPr>
          <w:i/>
          <w:iCs/>
          <w:sz w:val="32"/>
          <w:szCs w:val="32"/>
        </w:rPr>
        <w:t>Carol J. Patterson, Senior Partn</w:t>
      </w:r>
      <w:r w:rsidR="008D5E4E">
        <w:rPr>
          <w:i/>
          <w:iCs/>
          <w:sz w:val="32"/>
          <w:szCs w:val="32"/>
        </w:rPr>
        <w:t>e</w:t>
      </w:r>
      <w:r w:rsidRPr="003B366D">
        <w:rPr>
          <w:i/>
          <w:iCs/>
          <w:sz w:val="32"/>
          <w:szCs w:val="32"/>
        </w:rPr>
        <w:t>r</w:t>
      </w:r>
      <w:r w:rsidR="008D5E4E">
        <w:rPr>
          <w:i/>
          <w:iCs/>
          <w:sz w:val="32"/>
          <w:szCs w:val="32"/>
        </w:rPr>
        <w:t>,</w:t>
      </w:r>
      <w:bookmarkStart w:id="0" w:name="_GoBack"/>
      <w:bookmarkEnd w:id="0"/>
      <w:r>
        <w:rPr>
          <w:i/>
          <w:iCs/>
          <w:sz w:val="32"/>
          <w:szCs w:val="32"/>
        </w:rPr>
        <w:t xml:space="preserve"> </w:t>
      </w:r>
      <w:r w:rsidRPr="003B366D">
        <w:rPr>
          <w:i/>
          <w:iCs/>
          <w:sz w:val="32"/>
          <w:szCs w:val="32"/>
        </w:rPr>
        <w:t xml:space="preserve">and </w:t>
      </w:r>
    </w:p>
    <w:p w14:paraId="2C91684B" w14:textId="77777777" w:rsidR="00B61ED0" w:rsidRDefault="00FC1A21" w:rsidP="00627425">
      <w:pPr>
        <w:spacing w:after="0" w:line="240" w:lineRule="auto"/>
        <w:jc w:val="center"/>
        <w:rPr>
          <w:i/>
          <w:iCs/>
          <w:sz w:val="32"/>
          <w:szCs w:val="32"/>
        </w:rPr>
      </w:pPr>
      <w:r w:rsidRPr="003B366D">
        <w:rPr>
          <w:i/>
          <w:iCs/>
          <w:sz w:val="32"/>
          <w:szCs w:val="32"/>
        </w:rPr>
        <w:t xml:space="preserve">Timothy </w:t>
      </w:r>
      <w:r w:rsidR="00627425" w:rsidRPr="003B366D">
        <w:rPr>
          <w:i/>
          <w:iCs/>
          <w:sz w:val="32"/>
          <w:szCs w:val="32"/>
        </w:rPr>
        <w:t xml:space="preserve">F. </w:t>
      </w:r>
      <w:r w:rsidRPr="003B366D">
        <w:rPr>
          <w:i/>
          <w:iCs/>
          <w:sz w:val="32"/>
          <w:szCs w:val="32"/>
        </w:rPr>
        <w:t>Hegarty</w:t>
      </w:r>
      <w:r w:rsidR="003B366D">
        <w:rPr>
          <w:i/>
          <w:iCs/>
          <w:sz w:val="32"/>
          <w:szCs w:val="32"/>
        </w:rPr>
        <w:t>, Partner,</w:t>
      </w:r>
      <w:r w:rsidRPr="003B366D">
        <w:rPr>
          <w:i/>
          <w:iCs/>
          <w:sz w:val="32"/>
          <w:szCs w:val="32"/>
        </w:rPr>
        <w:t xml:space="preserve"> </w:t>
      </w:r>
      <w:r w:rsidR="00627425" w:rsidRPr="003B366D">
        <w:rPr>
          <w:i/>
          <w:iCs/>
          <w:sz w:val="32"/>
          <w:szCs w:val="32"/>
        </w:rPr>
        <w:t xml:space="preserve">Among Co-Authors </w:t>
      </w:r>
    </w:p>
    <w:p w14:paraId="33C7E9BE" w14:textId="77950FF0" w:rsidR="00FC1A21" w:rsidRPr="003B366D" w:rsidRDefault="00627425" w:rsidP="00627425">
      <w:pPr>
        <w:spacing w:after="0" w:line="240" w:lineRule="auto"/>
        <w:jc w:val="center"/>
        <w:rPr>
          <w:i/>
          <w:iCs/>
          <w:sz w:val="32"/>
          <w:szCs w:val="32"/>
        </w:rPr>
      </w:pPr>
      <w:r w:rsidRPr="003B366D">
        <w:rPr>
          <w:i/>
          <w:iCs/>
          <w:sz w:val="32"/>
          <w:szCs w:val="32"/>
        </w:rPr>
        <w:t xml:space="preserve">of Essential Textbook </w:t>
      </w:r>
      <w:r w:rsidR="00B61ED0">
        <w:rPr>
          <w:i/>
          <w:iCs/>
          <w:sz w:val="32"/>
          <w:szCs w:val="32"/>
        </w:rPr>
        <w:t>o</w:t>
      </w:r>
      <w:r w:rsidR="00804686" w:rsidRPr="003B366D">
        <w:rPr>
          <w:i/>
          <w:iCs/>
          <w:sz w:val="32"/>
          <w:szCs w:val="32"/>
        </w:rPr>
        <w:t xml:space="preserve">n Construction Law </w:t>
      </w:r>
    </w:p>
    <w:p w14:paraId="76C5529C" w14:textId="77777777" w:rsidR="00FC1A21" w:rsidRDefault="00FC1A21"/>
    <w:p w14:paraId="5ECBC462" w14:textId="74ECD778" w:rsidR="00B0530B" w:rsidRPr="0010437F" w:rsidRDefault="00FC1A21">
      <w:pPr>
        <w:rPr>
          <w:rFonts w:ascii="Calibri" w:eastAsia="Calibri" w:hAnsi="Calibri" w:cs="Calibri"/>
        </w:rPr>
      </w:pPr>
      <w:r w:rsidRPr="00627425">
        <w:rPr>
          <w:sz w:val="24"/>
          <w:szCs w:val="24"/>
        </w:rPr>
        <w:t>(New York, NY</w:t>
      </w:r>
      <w:r w:rsidR="00B61ED0">
        <w:rPr>
          <w:sz w:val="24"/>
          <w:szCs w:val="24"/>
        </w:rPr>
        <w:t xml:space="preserve">, </w:t>
      </w:r>
      <w:r w:rsidRPr="00627425">
        <w:rPr>
          <w:sz w:val="24"/>
          <w:szCs w:val="24"/>
        </w:rPr>
        <w:t xml:space="preserve"> </w:t>
      </w:r>
      <w:r w:rsidR="00B61ED0">
        <w:rPr>
          <w:sz w:val="24"/>
          <w:szCs w:val="24"/>
        </w:rPr>
        <w:t>October 3, 2019</w:t>
      </w:r>
      <w:r w:rsidRPr="00627425">
        <w:rPr>
          <w:sz w:val="24"/>
          <w:szCs w:val="24"/>
        </w:rPr>
        <w:t>) -</w:t>
      </w:r>
      <w:r w:rsidR="00627425" w:rsidRPr="00627425">
        <w:rPr>
          <w:sz w:val="24"/>
          <w:szCs w:val="24"/>
        </w:rPr>
        <w:t xml:space="preserve"> </w:t>
      </w:r>
      <w:hyperlink r:id="rId9" w:history="1">
        <w:r w:rsidR="00B0530B" w:rsidRPr="0010437F">
          <w:rPr>
            <w:rStyle w:val="Hyperlink"/>
            <w:rFonts w:cstheme="minorHAnsi"/>
            <w:sz w:val="24"/>
            <w:szCs w:val="24"/>
          </w:rPr>
          <w:t>Carol J. Patterson</w:t>
        </w:r>
      </w:hyperlink>
      <w:r w:rsidR="00B0530B" w:rsidRPr="0010437F">
        <w:rPr>
          <w:rFonts w:cstheme="minorHAnsi"/>
          <w:sz w:val="24"/>
          <w:szCs w:val="24"/>
        </w:rPr>
        <w:t xml:space="preserve">, </w:t>
      </w:r>
      <w:hyperlink r:id="rId10" w:history="1">
        <w:r w:rsidR="00B0530B" w:rsidRPr="0010437F">
          <w:rPr>
            <w:rStyle w:val="Hyperlink"/>
            <w:rFonts w:cstheme="minorHAnsi"/>
            <w:sz w:val="24"/>
            <w:szCs w:val="24"/>
          </w:rPr>
          <w:t>Zetlin &amp; De Chiara LLP</w:t>
        </w:r>
      </w:hyperlink>
      <w:r w:rsidR="00B0530B" w:rsidRPr="0010437F">
        <w:rPr>
          <w:rFonts w:cstheme="minorHAnsi"/>
          <w:sz w:val="24"/>
          <w:szCs w:val="24"/>
        </w:rPr>
        <w:t xml:space="preserve"> Senior Partner, </w:t>
      </w:r>
      <w:r w:rsidR="00905085" w:rsidRPr="0010437F">
        <w:rPr>
          <w:rFonts w:cstheme="minorHAnsi"/>
          <w:sz w:val="24"/>
          <w:szCs w:val="24"/>
        </w:rPr>
        <w:t xml:space="preserve">served as the lead editor for the newly revised </w:t>
      </w:r>
      <w:r w:rsidR="00627425" w:rsidRPr="0010437F">
        <w:rPr>
          <w:rFonts w:cstheme="minorHAnsi"/>
          <w:sz w:val="24"/>
          <w:szCs w:val="24"/>
        </w:rPr>
        <w:t xml:space="preserve"> American Bar Association</w:t>
      </w:r>
      <w:r w:rsidR="00B0530B" w:rsidRPr="0010437F">
        <w:rPr>
          <w:rFonts w:cstheme="minorHAnsi"/>
          <w:sz w:val="24"/>
          <w:szCs w:val="24"/>
        </w:rPr>
        <w:t xml:space="preserve"> (ABA) Forum on Construction Law's updated textbook, </w:t>
      </w:r>
      <w:hyperlink r:id="rId11" w:history="1">
        <w:r w:rsidR="00627425" w:rsidRPr="0010437F">
          <w:rPr>
            <w:rStyle w:val="Hyperlink"/>
            <w:rFonts w:cstheme="minorHAnsi"/>
            <w:i/>
            <w:iCs/>
            <w:sz w:val="24"/>
            <w:szCs w:val="24"/>
          </w:rPr>
          <w:t>Construction Law, Second Edition</w:t>
        </w:r>
      </w:hyperlink>
      <w:r w:rsidR="00627425" w:rsidRPr="0010437F">
        <w:rPr>
          <w:rFonts w:cstheme="minorHAnsi"/>
          <w:i/>
          <w:iCs/>
          <w:sz w:val="24"/>
          <w:szCs w:val="24"/>
        </w:rPr>
        <w:t>,</w:t>
      </w:r>
      <w:r w:rsidR="00905085" w:rsidRPr="0010437F">
        <w:rPr>
          <w:rFonts w:cstheme="minorHAnsi"/>
          <w:iCs/>
          <w:sz w:val="24"/>
          <w:szCs w:val="24"/>
        </w:rPr>
        <w:t xml:space="preserve"> </w:t>
      </w:r>
      <w:r w:rsidR="0010437F" w:rsidRPr="0010437F">
        <w:rPr>
          <w:rFonts w:eastAsia="Calibri" w:cstheme="minorHAnsi"/>
          <w:color w:val="333333"/>
          <w:sz w:val="24"/>
          <w:szCs w:val="24"/>
        </w:rPr>
        <w:t xml:space="preserve">and co-authored a chapter with fellow partner, </w:t>
      </w:r>
      <w:hyperlink r:id="rId12" w:history="1">
        <w:r w:rsidR="0010437F" w:rsidRPr="0010437F">
          <w:rPr>
            <w:rStyle w:val="Hyperlink"/>
            <w:rFonts w:eastAsia="Calibri" w:cstheme="minorHAnsi"/>
            <w:sz w:val="24"/>
            <w:szCs w:val="24"/>
          </w:rPr>
          <w:t>Timothy Hegarty</w:t>
        </w:r>
      </w:hyperlink>
      <w:r w:rsidR="0010437F" w:rsidRPr="0010437F">
        <w:rPr>
          <w:rFonts w:eastAsia="Calibri" w:cstheme="minorHAnsi"/>
          <w:color w:val="333333"/>
          <w:sz w:val="24"/>
          <w:szCs w:val="24"/>
        </w:rPr>
        <w:t>.</w:t>
      </w:r>
      <w:r w:rsidR="0010437F" w:rsidRPr="0010437F">
        <w:rPr>
          <w:rFonts w:ascii="Arial" w:eastAsia="Calibri" w:hAnsi="Arial" w:cs="Arial"/>
          <w:color w:val="333333"/>
          <w:sz w:val="27"/>
          <w:szCs w:val="27"/>
        </w:rPr>
        <w:t> </w:t>
      </w:r>
    </w:p>
    <w:p w14:paraId="7695894A" w14:textId="037D9E25" w:rsidR="00A25F1D" w:rsidRDefault="00A25F1D">
      <w:pPr>
        <w:rPr>
          <w:sz w:val="24"/>
          <w:szCs w:val="24"/>
        </w:rPr>
      </w:pPr>
      <w:r w:rsidRPr="00B0530B">
        <w:rPr>
          <w:i/>
          <w:iCs/>
          <w:sz w:val="24"/>
          <w:szCs w:val="24"/>
        </w:rPr>
        <w:t>Construction Law</w:t>
      </w:r>
      <w:r>
        <w:rPr>
          <w:i/>
          <w:iCs/>
          <w:sz w:val="24"/>
          <w:szCs w:val="24"/>
        </w:rPr>
        <w:t xml:space="preserve"> </w:t>
      </w:r>
      <w:r w:rsidRPr="00627425">
        <w:rPr>
          <w:sz w:val="24"/>
          <w:szCs w:val="24"/>
        </w:rPr>
        <w:t>provides a complete orientation to the construction industry and its processes</w:t>
      </w:r>
      <w:r w:rsidR="002E1C4E">
        <w:rPr>
          <w:sz w:val="24"/>
          <w:szCs w:val="24"/>
        </w:rPr>
        <w:t xml:space="preserve">.  </w:t>
      </w:r>
      <w:r w:rsidR="008101D4">
        <w:rPr>
          <w:sz w:val="24"/>
          <w:szCs w:val="24"/>
        </w:rPr>
        <w:t>W</w:t>
      </w:r>
      <w:r w:rsidR="00BA6830" w:rsidRPr="001563BA">
        <w:rPr>
          <w:sz w:val="24"/>
          <w:szCs w:val="24"/>
        </w:rPr>
        <w:t>ritten by leading experts from across the country</w:t>
      </w:r>
      <w:r w:rsidR="00BA6830">
        <w:rPr>
          <w:sz w:val="24"/>
          <w:szCs w:val="24"/>
        </w:rPr>
        <w:t xml:space="preserve"> and suitable for </w:t>
      </w:r>
      <w:r w:rsidR="00BA6830" w:rsidRPr="00627425">
        <w:rPr>
          <w:sz w:val="24"/>
          <w:szCs w:val="24"/>
        </w:rPr>
        <w:t>introductory survey courses or more advanced courses oriented towards litigation or transactions</w:t>
      </w:r>
      <w:r w:rsidR="00BA6830">
        <w:rPr>
          <w:sz w:val="24"/>
          <w:szCs w:val="24"/>
        </w:rPr>
        <w:t>, t</w:t>
      </w:r>
      <w:r w:rsidR="00BA6830" w:rsidRPr="00D00C7C">
        <w:rPr>
          <w:sz w:val="24"/>
          <w:szCs w:val="24"/>
        </w:rPr>
        <w:t>he textbook</w:t>
      </w:r>
      <w:r w:rsidR="00BA6830">
        <w:rPr>
          <w:sz w:val="24"/>
          <w:szCs w:val="24"/>
        </w:rPr>
        <w:t xml:space="preserve"> examines the roles of the different participants in the construction process and the</w:t>
      </w:r>
      <w:r w:rsidR="008101D4">
        <w:rPr>
          <w:sz w:val="24"/>
          <w:szCs w:val="24"/>
        </w:rPr>
        <w:t xml:space="preserve"> </w:t>
      </w:r>
      <w:r w:rsidR="008101D4" w:rsidRPr="002E1C4E">
        <w:rPr>
          <w:sz w:val="24"/>
          <w:szCs w:val="24"/>
        </w:rPr>
        <w:t>concepts and</w:t>
      </w:r>
      <w:r w:rsidR="00BA6830" w:rsidRPr="008101D4">
        <w:rPr>
          <w:sz w:val="24"/>
          <w:szCs w:val="24"/>
        </w:rPr>
        <w:t xml:space="preserve"> </w:t>
      </w:r>
      <w:r w:rsidR="00BA6830">
        <w:rPr>
          <w:sz w:val="24"/>
          <w:szCs w:val="24"/>
        </w:rPr>
        <w:t xml:space="preserve">vocabulary essential to understanding its cases and legal principles.  </w:t>
      </w:r>
    </w:p>
    <w:p w14:paraId="45EACC8B" w14:textId="532900C4" w:rsidR="00BA6830" w:rsidRPr="00BA6830" w:rsidRDefault="001563BA" w:rsidP="00BA6830">
      <w:pPr>
        <w:rPr>
          <w:sz w:val="24"/>
          <w:szCs w:val="24"/>
        </w:rPr>
      </w:pPr>
      <w:r>
        <w:rPr>
          <w:sz w:val="24"/>
          <w:szCs w:val="24"/>
        </w:rPr>
        <w:t>Ms. Patterson said, “</w:t>
      </w:r>
      <w:r w:rsidR="00BA6830" w:rsidRPr="00BA6830">
        <w:rPr>
          <w:i/>
          <w:iCs/>
          <w:sz w:val="24"/>
          <w:szCs w:val="24"/>
        </w:rPr>
        <w:t>Construction Law</w:t>
      </w:r>
      <w:r w:rsidR="00D00C7C">
        <w:rPr>
          <w:sz w:val="24"/>
          <w:szCs w:val="24"/>
        </w:rPr>
        <w:t xml:space="preserve"> provides the background to understand the rich and complex legal terrain of our built environment</w:t>
      </w:r>
      <w:r w:rsidR="00BA6830">
        <w:rPr>
          <w:sz w:val="24"/>
          <w:szCs w:val="24"/>
        </w:rPr>
        <w:t>. I</w:t>
      </w:r>
      <w:r w:rsidR="00BA6830" w:rsidRPr="00BA6830">
        <w:rPr>
          <w:sz w:val="24"/>
          <w:szCs w:val="24"/>
        </w:rPr>
        <w:t>t is an indispensable reference for students of law contemplating a career in the field, as well as those in architecture, engineering and construction management.</w:t>
      </w:r>
      <w:r w:rsidR="008101D4">
        <w:rPr>
          <w:sz w:val="24"/>
          <w:szCs w:val="24"/>
        </w:rPr>
        <w:t xml:space="preserve"> </w:t>
      </w:r>
      <w:r w:rsidR="008101D4" w:rsidRPr="002E1C4E">
        <w:rPr>
          <w:sz w:val="24"/>
          <w:szCs w:val="24"/>
        </w:rPr>
        <w:t>This new edition provides new content to expand and update the original textbook.”</w:t>
      </w:r>
    </w:p>
    <w:p w14:paraId="50BCDD65" w14:textId="41733594" w:rsidR="00D00C7C" w:rsidRDefault="00D00C7C" w:rsidP="00D00C7C">
      <w:pPr>
        <w:rPr>
          <w:sz w:val="24"/>
          <w:szCs w:val="24"/>
        </w:rPr>
      </w:pPr>
      <w:r>
        <w:rPr>
          <w:sz w:val="24"/>
          <w:szCs w:val="24"/>
        </w:rPr>
        <w:t>Ms. Patterson and</w:t>
      </w:r>
      <w:r w:rsidR="0010437F">
        <w:rPr>
          <w:sz w:val="24"/>
          <w:szCs w:val="24"/>
        </w:rPr>
        <w:t xml:space="preserve"> Mr.</w:t>
      </w:r>
      <w:r>
        <w:rPr>
          <w:sz w:val="24"/>
          <w:szCs w:val="24"/>
        </w:rPr>
        <w:t xml:space="preserve"> Hegarty co-authored the chapter “The Design Team’s Role in Contracts,” which focuses on the responsibilities of the practitioners and the legal framework related to the performance of </w:t>
      </w:r>
      <w:r w:rsidR="00511B3E">
        <w:rPr>
          <w:sz w:val="24"/>
          <w:szCs w:val="24"/>
        </w:rPr>
        <w:t xml:space="preserve">professional </w:t>
      </w:r>
      <w:r>
        <w:rPr>
          <w:sz w:val="24"/>
          <w:szCs w:val="24"/>
        </w:rPr>
        <w:t>design services.</w:t>
      </w:r>
    </w:p>
    <w:p w14:paraId="28903D58" w14:textId="3F4E6910" w:rsidR="002F07E7" w:rsidRPr="007C7AA9" w:rsidRDefault="007C7AA9" w:rsidP="00BA6830">
      <w:pPr>
        <w:rPr>
          <w:sz w:val="24"/>
          <w:szCs w:val="24"/>
        </w:rPr>
      </w:pPr>
      <w:r>
        <w:rPr>
          <w:sz w:val="24"/>
          <w:szCs w:val="24"/>
        </w:rPr>
        <w:t xml:space="preserve">Mr. Hegarty said, “I have designated </w:t>
      </w:r>
      <w:r w:rsidRPr="00BA6830">
        <w:rPr>
          <w:i/>
          <w:iCs/>
          <w:sz w:val="24"/>
          <w:szCs w:val="24"/>
        </w:rPr>
        <w:t>Construction Law</w:t>
      </w:r>
      <w:r>
        <w:rPr>
          <w:sz w:val="24"/>
          <w:szCs w:val="24"/>
        </w:rPr>
        <w:t xml:space="preserve"> as the required textbook for </w:t>
      </w:r>
      <w:r w:rsidR="00511B3E">
        <w:rPr>
          <w:sz w:val="24"/>
          <w:szCs w:val="24"/>
        </w:rPr>
        <w:t>the</w:t>
      </w:r>
      <w:r>
        <w:rPr>
          <w:sz w:val="24"/>
          <w:szCs w:val="24"/>
        </w:rPr>
        <w:t xml:space="preserve"> </w:t>
      </w:r>
      <w:r w:rsidR="00583385">
        <w:rPr>
          <w:sz w:val="24"/>
          <w:szCs w:val="24"/>
        </w:rPr>
        <w:t>“</w:t>
      </w:r>
      <w:r w:rsidRPr="00C56E8D">
        <w:rPr>
          <w:sz w:val="24"/>
          <w:szCs w:val="24"/>
          <w:u w:val="single"/>
        </w:rPr>
        <w:t>Legal Issues in Building Construction</w:t>
      </w:r>
      <w:r w:rsidR="00583385">
        <w:rPr>
          <w:sz w:val="24"/>
          <w:szCs w:val="24"/>
          <w:u w:val="single"/>
        </w:rPr>
        <w:t>”</w:t>
      </w:r>
      <w:r>
        <w:rPr>
          <w:sz w:val="24"/>
          <w:szCs w:val="24"/>
        </w:rPr>
        <w:t xml:space="preserve"> graduate class that I </w:t>
      </w:r>
      <w:r w:rsidR="00583385">
        <w:rPr>
          <w:sz w:val="24"/>
          <w:szCs w:val="24"/>
        </w:rPr>
        <w:t xml:space="preserve">have taught </w:t>
      </w:r>
      <w:r>
        <w:rPr>
          <w:sz w:val="24"/>
          <w:szCs w:val="24"/>
        </w:rPr>
        <w:t>at Columbia University</w:t>
      </w:r>
      <w:r w:rsidR="00583385">
        <w:rPr>
          <w:sz w:val="24"/>
          <w:szCs w:val="24"/>
        </w:rPr>
        <w:t xml:space="preserve"> for the last ten years</w:t>
      </w:r>
      <w:r>
        <w:rPr>
          <w:sz w:val="24"/>
          <w:szCs w:val="24"/>
        </w:rPr>
        <w:t>. My goal is for this book to serve the needs of the students during the course and be a terrific resource for them as they continue their careers in real estate development, design and construction.</w:t>
      </w:r>
    </w:p>
    <w:p w14:paraId="1E71C63D" w14:textId="2FAD5B31" w:rsidR="00BA6830" w:rsidRDefault="00BA6830" w:rsidP="00BA6830">
      <w:pPr>
        <w:rPr>
          <w:sz w:val="24"/>
          <w:szCs w:val="24"/>
        </w:rPr>
      </w:pPr>
      <w:r>
        <w:rPr>
          <w:sz w:val="24"/>
          <w:szCs w:val="24"/>
        </w:rPr>
        <w:t xml:space="preserve">In the ten years since the first edition, project delivery systems and technologies have emerged that are changing </w:t>
      </w:r>
      <w:r w:rsidR="008101D4" w:rsidRPr="002E1C4E">
        <w:rPr>
          <w:sz w:val="24"/>
          <w:szCs w:val="24"/>
        </w:rPr>
        <w:t>how construction projects are built</w:t>
      </w:r>
      <w:r w:rsidRPr="002E1C4E">
        <w:rPr>
          <w:sz w:val="24"/>
          <w:szCs w:val="24"/>
        </w:rPr>
        <w:t>.</w:t>
      </w:r>
      <w:r>
        <w:rPr>
          <w:sz w:val="24"/>
          <w:szCs w:val="24"/>
        </w:rPr>
        <w:t xml:space="preserve">  Included in this edition are chapters on “Public Construction Contracting” and “Technological Advances in Construction: Building Information Modeling (BIM) and Related Tools.”</w:t>
      </w:r>
    </w:p>
    <w:p w14:paraId="4A1277C0" w14:textId="615AD3B2" w:rsidR="00006118" w:rsidRPr="001563BA" w:rsidRDefault="008D5E4E" w:rsidP="00627425">
      <w:pPr>
        <w:rPr>
          <w:sz w:val="24"/>
          <w:szCs w:val="24"/>
        </w:rPr>
      </w:pPr>
      <w:hyperlink r:id="rId13" w:history="1">
        <w:r w:rsidR="00006118" w:rsidRPr="00006118">
          <w:rPr>
            <w:rStyle w:val="Hyperlink"/>
            <w:i/>
            <w:iCs/>
            <w:sz w:val="24"/>
            <w:szCs w:val="24"/>
          </w:rPr>
          <w:t>Construction Law, Second Edition</w:t>
        </w:r>
      </w:hyperlink>
      <w:r w:rsidR="00006118">
        <w:rPr>
          <w:sz w:val="24"/>
          <w:szCs w:val="24"/>
        </w:rPr>
        <w:t xml:space="preserve"> is available in print or as an e-book from the American Bar Association.</w:t>
      </w:r>
      <w:r w:rsidR="00006118">
        <w:rPr>
          <w:i/>
          <w:iCs/>
          <w:sz w:val="24"/>
          <w:szCs w:val="24"/>
        </w:rPr>
        <w:t xml:space="preserve"> </w:t>
      </w:r>
      <w:r w:rsidR="001563BA" w:rsidRPr="001563BA">
        <w:rPr>
          <w:sz w:val="24"/>
          <w:szCs w:val="24"/>
        </w:rPr>
        <w:t>The first edition was released in 2</w:t>
      </w:r>
      <w:r w:rsidR="001563BA">
        <w:rPr>
          <w:sz w:val="24"/>
          <w:szCs w:val="24"/>
        </w:rPr>
        <w:t>009</w:t>
      </w:r>
      <w:r w:rsidR="00B61ED0">
        <w:rPr>
          <w:sz w:val="24"/>
          <w:szCs w:val="24"/>
        </w:rPr>
        <w:t>.</w:t>
      </w:r>
    </w:p>
    <w:p w14:paraId="775AED2A" w14:textId="77777777" w:rsidR="00BA568B" w:rsidRPr="00BA568B" w:rsidRDefault="00BA568B" w:rsidP="00BA568B">
      <w:pPr>
        <w:spacing w:after="0" w:line="240" w:lineRule="auto"/>
        <w:rPr>
          <w:rFonts w:ascii="Calibri" w:eastAsia="Calibri" w:hAnsi="Calibri" w:cs="Calibri"/>
          <w:b/>
          <w:bCs/>
          <w:sz w:val="24"/>
          <w:szCs w:val="24"/>
        </w:rPr>
      </w:pPr>
      <w:r w:rsidRPr="00BA568B">
        <w:rPr>
          <w:rFonts w:ascii="Calibri" w:eastAsia="Calibri" w:hAnsi="Calibri" w:cs="Calibri"/>
          <w:b/>
          <w:bCs/>
          <w:sz w:val="24"/>
          <w:szCs w:val="24"/>
        </w:rPr>
        <w:t>About Zetlin &amp; De Chiara LLP</w:t>
      </w:r>
    </w:p>
    <w:p w14:paraId="76495A7E" w14:textId="77777777" w:rsidR="00BA568B" w:rsidRPr="00BA568B" w:rsidRDefault="008D5E4E" w:rsidP="00BA568B">
      <w:pPr>
        <w:spacing w:after="0" w:line="240" w:lineRule="auto"/>
        <w:rPr>
          <w:rFonts w:ascii="Calibri" w:eastAsia="Calibri" w:hAnsi="Calibri" w:cs="Calibri"/>
          <w:sz w:val="24"/>
          <w:szCs w:val="24"/>
        </w:rPr>
      </w:pPr>
      <w:hyperlink r:id="rId14" w:history="1">
        <w:r w:rsidR="00BA568B" w:rsidRPr="00BA568B">
          <w:rPr>
            <w:rFonts w:ascii="Calibri" w:eastAsia="Calibri" w:hAnsi="Calibri" w:cs="Calibri"/>
            <w:color w:val="0563C1"/>
            <w:sz w:val="24"/>
            <w:szCs w:val="24"/>
            <w:u w:val="single"/>
          </w:rPr>
          <w:t>Zetlin &amp; De Chiara LLP</w:t>
        </w:r>
      </w:hyperlink>
      <w:r w:rsidR="00BA568B" w:rsidRPr="00BA568B">
        <w:rPr>
          <w:rFonts w:ascii="Calibri" w:eastAsia="Calibri" w:hAnsi="Calibri" w:cs="Calibri"/>
          <w:sz w:val="24"/>
          <w:szCs w:val="24"/>
        </w:rPr>
        <w:t xml:space="preserve"> provides sophisticated legal and business counsel and advice to members of the construction community across the country including real estate owners and developers, design professionals, construction managers and contractors, and financial institutions. </w:t>
      </w:r>
    </w:p>
    <w:p w14:paraId="16BCD321" w14:textId="77777777" w:rsidR="00BA568B" w:rsidRPr="00BA568B" w:rsidRDefault="00BA568B" w:rsidP="00BA568B">
      <w:pPr>
        <w:spacing w:after="0" w:line="240" w:lineRule="auto"/>
        <w:rPr>
          <w:rFonts w:ascii="Calibri" w:eastAsia="Calibri" w:hAnsi="Calibri" w:cs="Calibri"/>
          <w:sz w:val="24"/>
          <w:szCs w:val="24"/>
        </w:rPr>
      </w:pPr>
    </w:p>
    <w:p w14:paraId="64FC44AB" w14:textId="77777777" w:rsidR="00BA568B" w:rsidRPr="00BA568B" w:rsidRDefault="00BA568B" w:rsidP="00BA568B">
      <w:pPr>
        <w:spacing w:after="0" w:line="240" w:lineRule="auto"/>
        <w:jc w:val="center"/>
        <w:rPr>
          <w:rFonts w:ascii="Calibri" w:eastAsia="Calibri" w:hAnsi="Calibri" w:cs="Calibri"/>
          <w:sz w:val="24"/>
          <w:szCs w:val="24"/>
        </w:rPr>
      </w:pPr>
      <w:r w:rsidRPr="00BA568B">
        <w:rPr>
          <w:rFonts w:ascii="Calibri" w:eastAsia="Calibri" w:hAnsi="Calibri" w:cs="Calibri"/>
          <w:sz w:val="24"/>
          <w:szCs w:val="24"/>
        </w:rPr>
        <w:t>###</w:t>
      </w:r>
    </w:p>
    <w:p w14:paraId="3CE3505A" w14:textId="77777777" w:rsidR="00BA568B" w:rsidRPr="00BA568B" w:rsidRDefault="00BA568B" w:rsidP="00BA568B">
      <w:pPr>
        <w:spacing w:after="0" w:line="240" w:lineRule="auto"/>
        <w:rPr>
          <w:rFonts w:ascii="Calibri" w:eastAsia="MS Mincho" w:hAnsi="Calibri" w:cs="Calibri"/>
          <w:b/>
          <w:sz w:val="24"/>
          <w:szCs w:val="24"/>
        </w:rPr>
      </w:pPr>
      <w:r w:rsidRPr="00BA568B">
        <w:rPr>
          <w:rFonts w:ascii="Calibri" w:eastAsia="MS Mincho" w:hAnsi="Calibri" w:cs="Calibri"/>
          <w:b/>
          <w:sz w:val="24"/>
          <w:szCs w:val="24"/>
        </w:rPr>
        <w:t>Media Contacts:</w:t>
      </w:r>
    </w:p>
    <w:p w14:paraId="778E6CAD" w14:textId="77777777" w:rsidR="00BA568B" w:rsidRPr="00BA568B" w:rsidRDefault="00BA568B" w:rsidP="00BA568B">
      <w:pPr>
        <w:spacing w:after="0" w:line="240" w:lineRule="auto"/>
        <w:rPr>
          <w:rFonts w:ascii="Calibri" w:eastAsia="MS Mincho" w:hAnsi="Calibri" w:cs="Calibri"/>
          <w:sz w:val="24"/>
          <w:szCs w:val="24"/>
        </w:rPr>
      </w:pPr>
      <w:r w:rsidRPr="00BA568B">
        <w:rPr>
          <w:rFonts w:ascii="Calibri" w:eastAsia="MS Mincho" w:hAnsi="Calibri" w:cs="Calibri"/>
          <w:sz w:val="24"/>
          <w:szCs w:val="24"/>
        </w:rPr>
        <w:t>Andrea K. Stimmel - Zetlin &amp; De Chiara LLP</w:t>
      </w:r>
    </w:p>
    <w:p w14:paraId="2DEC1CD7" w14:textId="77777777" w:rsidR="00BA568B" w:rsidRPr="00BA568B" w:rsidRDefault="008D5E4E" w:rsidP="00BA568B">
      <w:pPr>
        <w:spacing w:after="0" w:line="240" w:lineRule="auto"/>
        <w:rPr>
          <w:rFonts w:ascii="Calibri" w:eastAsia="MS Mincho" w:hAnsi="Calibri" w:cs="Calibri"/>
          <w:sz w:val="24"/>
          <w:szCs w:val="24"/>
        </w:rPr>
      </w:pPr>
      <w:hyperlink r:id="rId15" w:history="1">
        <w:r w:rsidR="00BA568B" w:rsidRPr="00BA568B">
          <w:rPr>
            <w:rFonts w:ascii="Calibri" w:eastAsia="MS Mincho" w:hAnsi="Calibri" w:cs="Calibri"/>
            <w:color w:val="0563C1"/>
            <w:sz w:val="24"/>
            <w:szCs w:val="24"/>
            <w:u w:val="single"/>
          </w:rPr>
          <w:t>astimmel@ZDLAW.com</w:t>
        </w:r>
      </w:hyperlink>
    </w:p>
    <w:p w14:paraId="561B1E79" w14:textId="77777777" w:rsidR="00BA568B" w:rsidRPr="00BA568B" w:rsidRDefault="00BA568B" w:rsidP="00BA568B">
      <w:pPr>
        <w:spacing w:after="0" w:line="240" w:lineRule="auto"/>
        <w:rPr>
          <w:rFonts w:ascii="Calibri" w:eastAsia="Calibri" w:hAnsi="Calibri" w:cs="Calibri"/>
          <w:sz w:val="24"/>
          <w:szCs w:val="24"/>
        </w:rPr>
      </w:pPr>
      <w:r w:rsidRPr="00BA568B">
        <w:rPr>
          <w:rFonts w:ascii="Calibri" w:eastAsia="MS Mincho" w:hAnsi="Calibri" w:cs="Calibri"/>
          <w:sz w:val="24"/>
          <w:szCs w:val="24"/>
        </w:rPr>
        <w:t>Ilyse Fink/Kaitlin Lewis -- LAK Public Relations, Inc.</w:t>
      </w:r>
      <w:r w:rsidRPr="00BA568B">
        <w:rPr>
          <w:rFonts w:ascii="Calibri" w:eastAsia="MS Mincho" w:hAnsi="Calibri" w:cs="Calibri"/>
          <w:sz w:val="24"/>
          <w:szCs w:val="24"/>
        </w:rPr>
        <w:br/>
      </w:r>
      <w:hyperlink r:id="rId16" w:history="1">
        <w:r w:rsidRPr="00BA568B">
          <w:rPr>
            <w:rFonts w:ascii="Calibri" w:eastAsia="MS Mincho" w:hAnsi="Calibri" w:cs="Calibri"/>
            <w:color w:val="0000FF"/>
            <w:sz w:val="24"/>
            <w:szCs w:val="24"/>
            <w:u w:val="single"/>
          </w:rPr>
          <w:t>ifink@lakpr.com</w:t>
        </w:r>
      </w:hyperlink>
      <w:r w:rsidRPr="00BA568B">
        <w:rPr>
          <w:rFonts w:ascii="Calibri" w:eastAsia="MS Mincho" w:hAnsi="Calibri" w:cs="Calibri"/>
          <w:sz w:val="24"/>
          <w:szCs w:val="24"/>
        </w:rPr>
        <w:t xml:space="preserve"> / </w:t>
      </w:r>
      <w:hyperlink r:id="rId17" w:history="1">
        <w:r w:rsidRPr="00BA568B">
          <w:rPr>
            <w:rFonts w:ascii="Calibri" w:eastAsia="MS Mincho" w:hAnsi="Calibri" w:cs="Calibri"/>
            <w:color w:val="0000FF"/>
            <w:sz w:val="24"/>
            <w:szCs w:val="24"/>
            <w:u w:val="single"/>
          </w:rPr>
          <w:t>klewis@lakpr.com</w:t>
        </w:r>
      </w:hyperlink>
      <w:r w:rsidRPr="00BA568B">
        <w:rPr>
          <w:rFonts w:ascii="Calibri" w:eastAsia="MS Mincho" w:hAnsi="Calibri" w:cs="Calibri"/>
          <w:sz w:val="24"/>
          <w:szCs w:val="24"/>
        </w:rPr>
        <w:t xml:space="preserve"> </w:t>
      </w:r>
    </w:p>
    <w:p w14:paraId="47C653CF" w14:textId="77777777" w:rsidR="00BA6830" w:rsidRDefault="00BA6830" w:rsidP="00BA568B">
      <w:pPr>
        <w:spacing w:after="200" w:line="276" w:lineRule="auto"/>
        <w:jc w:val="center"/>
        <w:textAlignment w:val="top"/>
        <w:rPr>
          <w:rFonts w:ascii="Arial" w:eastAsia="Calibri" w:hAnsi="Arial" w:cs="Arial"/>
          <w:sz w:val="20"/>
          <w:szCs w:val="20"/>
        </w:rPr>
      </w:pPr>
    </w:p>
    <w:p w14:paraId="696CF4E7" w14:textId="4FFD6988" w:rsidR="00BA568B" w:rsidRPr="00BA568B" w:rsidRDefault="00BA568B" w:rsidP="00BA568B">
      <w:pPr>
        <w:spacing w:after="200" w:line="276" w:lineRule="auto"/>
        <w:jc w:val="center"/>
        <w:textAlignment w:val="top"/>
        <w:rPr>
          <w:rFonts w:ascii="Arial" w:eastAsia="Calibri" w:hAnsi="Arial" w:cs="Arial"/>
          <w:sz w:val="20"/>
          <w:szCs w:val="20"/>
        </w:rPr>
      </w:pPr>
      <w:r w:rsidRPr="00BA568B">
        <w:rPr>
          <w:rFonts w:ascii="Arial" w:eastAsia="Calibri" w:hAnsi="Arial" w:cs="Arial"/>
          <w:sz w:val="20"/>
          <w:szCs w:val="20"/>
        </w:rPr>
        <w:t>###</w:t>
      </w:r>
    </w:p>
    <w:p w14:paraId="0BE1D556" w14:textId="77777777" w:rsidR="00006118" w:rsidRDefault="00006118" w:rsidP="00627425">
      <w:pPr>
        <w:rPr>
          <w:sz w:val="24"/>
          <w:szCs w:val="24"/>
        </w:rPr>
      </w:pPr>
    </w:p>
    <w:p w14:paraId="32944B3C" w14:textId="77777777" w:rsidR="00627425" w:rsidRPr="00627425" w:rsidRDefault="00627425">
      <w:pPr>
        <w:rPr>
          <w:sz w:val="24"/>
          <w:szCs w:val="24"/>
        </w:rPr>
      </w:pPr>
    </w:p>
    <w:sectPr w:rsidR="00627425" w:rsidRPr="00627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21"/>
    <w:rsid w:val="00006118"/>
    <w:rsid w:val="000661FE"/>
    <w:rsid w:val="0010437F"/>
    <w:rsid w:val="00112A5F"/>
    <w:rsid w:val="001563BA"/>
    <w:rsid w:val="00261785"/>
    <w:rsid w:val="002E1C4E"/>
    <w:rsid w:val="002F07E7"/>
    <w:rsid w:val="003829AD"/>
    <w:rsid w:val="003B366D"/>
    <w:rsid w:val="004231A9"/>
    <w:rsid w:val="00425E42"/>
    <w:rsid w:val="005050F2"/>
    <w:rsid w:val="00511B3E"/>
    <w:rsid w:val="00583385"/>
    <w:rsid w:val="00627425"/>
    <w:rsid w:val="007C7AA9"/>
    <w:rsid w:val="007F4569"/>
    <w:rsid w:val="00804686"/>
    <w:rsid w:val="008101D4"/>
    <w:rsid w:val="00891E56"/>
    <w:rsid w:val="008D5E4E"/>
    <w:rsid w:val="00905085"/>
    <w:rsid w:val="00A25F1D"/>
    <w:rsid w:val="00B0530B"/>
    <w:rsid w:val="00B61ED0"/>
    <w:rsid w:val="00BA568B"/>
    <w:rsid w:val="00BA6830"/>
    <w:rsid w:val="00C56E8D"/>
    <w:rsid w:val="00D00C7C"/>
    <w:rsid w:val="00D2605C"/>
    <w:rsid w:val="00DD1167"/>
    <w:rsid w:val="00DD5AE1"/>
    <w:rsid w:val="00FC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E33A"/>
  <w15:chartTrackingRefBased/>
  <w15:docId w15:val="{04155B27-167A-40C0-BA20-0A1CEDAA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425"/>
    <w:rPr>
      <w:color w:val="0563C1" w:themeColor="hyperlink"/>
      <w:u w:val="single"/>
    </w:rPr>
  </w:style>
  <w:style w:type="character" w:styleId="UnresolvedMention">
    <w:name w:val="Unresolved Mention"/>
    <w:basedOn w:val="DefaultParagraphFont"/>
    <w:uiPriority w:val="99"/>
    <w:semiHidden/>
    <w:unhideWhenUsed/>
    <w:rsid w:val="00627425"/>
    <w:rPr>
      <w:color w:val="605E5C"/>
      <w:shd w:val="clear" w:color="auto" w:fill="E1DFDD"/>
    </w:rPr>
  </w:style>
  <w:style w:type="character" w:styleId="CommentReference">
    <w:name w:val="annotation reference"/>
    <w:basedOn w:val="DefaultParagraphFont"/>
    <w:uiPriority w:val="99"/>
    <w:semiHidden/>
    <w:unhideWhenUsed/>
    <w:rsid w:val="008101D4"/>
    <w:rPr>
      <w:sz w:val="16"/>
      <w:szCs w:val="16"/>
    </w:rPr>
  </w:style>
  <w:style w:type="paragraph" w:styleId="CommentText">
    <w:name w:val="annotation text"/>
    <w:basedOn w:val="Normal"/>
    <w:link w:val="CommentTextChar"/>
    <w:uiPriority w:val="99"/>
    <w:semiHidden/>
    <w:unhideWhenUsed/>
    <w:rsid w:val="008101D4"/>
    <w:pPr>
      <w:spacing w:line="240" w:lineRule="auto"/>
    </w:pPr>
    <w:rPr>
      <w:sz w:val="20"/>
      <w:szCs w:val="20"/>
    </w:rPr>
  </w:style>
  <w:style w:type="character" w:customStyle="1" w:styleId="CommentTextChar">
    <w:name w:val="Comment Text Char"/>
    <w:basedOn w:val="DefaultParagraphFont"/>
    <w:link w:val="CommentText"/>
    <w:uiPriority w:val="99"/>
    <w:semiHidden/>
    <w:rsid w:val="008101D4"/>
    <w:rPr>
      <w:sz w:val="20"/>
      <w:szCs w:val="20"/>
    </w:rPr>
  </w:style>
  <w:style w:type="paragraph" w:styleId="CommentSubject">
    <w:name w:val="annotation subject"/>
    <w:basedOn w:val="CommentText"/>
    <w:next w:val="CommentText"/>
    <w:link w:val="CommentSubjectChar"/>
    <w:uiPriority w:val="99"/>
    <w:semiHidden/>
    <w:unhideWhenUsed/>
    <w:rsid w:val="008101D4"/>
    <w:rPr>
      <w:b/>
      <w:bCs/>
    </w:rPr>
  </w:style>
  <w:style w:type="character" w:customStyle="1" w:styleId="CommentSubjectChar">
    <w:name w:val="Comment Subject Char"/>
    <w:basedOn w:val="CommentTextChar"/>
    <w:link w:val="CommentSubject"/>
    <w:uiPriority w:val="99"/>
    <w:semiHidden/>
    <w:rsid w:val="008101D4"/>
    <w:rPr>
      <w:b/>
      <w:bCs/>
      <w:sz w:val="20"/>
      <w:szCs w:val="20"/>
    </w:rPr>
  </w:style>
  <w:style w:type="paragraph" w:styleId="BalloonText">
    <w:name w:val="Balloon Text"/>
    <w:basedOn w:val="Normal"/>
    <w:link w:val="BalloonTextChar"/>
    <w:uiPriority w:val="99"/>
    <w:semiHidden/>
    <w:unhideWhenUsed/>
    <w:rsid w:val="00810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1D4"/>
    <w:rPr>
      <w:rFonts w:ascii="Segoe UI" w:hAnsi="Segoe UI" w:cs="Segoe UI"/>
      <w:sz w:val="18"/>
      <w:szCs w:val="18"/>
    </w:rPr>
  </w:style>
  <w:style w:type="paragraph" w:styleId="Revision">
    <w:name w:val="Revision"/>
    <w:hidden/>
    <w:uiPriority w:val="99"/>
    <w:semiHidden/>
    <w:rsid w:val="002E1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2681">
      <w:bodyDiv w:val="1"/>
      <w:marLeft w:val="0"/>
      <w:marRight w:val="0"/>
      <w:marTop w:val="0"/>
      <w:marBottom w:val="0"/>
      <w:divBdr>
        <w:top w:val="none" w:sz="0" w:space="0" w:color="auto"/>
        <w:left w:val="none" w:sz="0" w:space="0" w:color="auto"/>
        <w:bottom w:val="none" w:sz="0" w:space="0" w:color="auto"/>
        <w:right w:val="none" w:sz="0" w:space="0" w:color="auto"/>
      </w:divBdr>
    </w:div>
    <w:div w:id="19846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mericanbar.org/products/inv/book/3642031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dlaw.com/professionals-timothy-f-hegarty" TargetMode="External"/><Relationship Id="rId17" Type="http://schemas.openxmlformats.org/officeDocument/2006/relationships/hyperlink" Target="mailto:klewis@lakpr.com" TargetMode="External"/><Relationship Id="rId2" Type="http://schemas.openxmlformats.org/officeDocument/2006/relationships/customXml" Target="../customXml/item2.xml"/><Relationship Id="rId16" Type="http://schemas.openxmlformats.org/officeDocument/2006/relationships/hyperlink" Target="mailto:ifink@lakp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ericanbar.org/products/inv/book/364203111/" TargetMode="External"/><Relationship Id="rId5" Type="http://schemas.openxmlformats.org/officeDocument/2006/relationships/styles" Target="styles.xml"/><Relationship Id="rId15" Type="http://schemas.openxmlformats.org/officeDocument/2006/relationships/hyperlink" Target="file:///\\lakfs\data\CLIENT%20FOLDERS\Zetlin%20&amp;%20De%20Chiara\Releases,%20Statements,%20Listings,%20Advisories\astimmel@ZDLAW.com" TargetMode="External"/><Relationship Id="rId10" Type="http://schemas.openxmlformats.org/officeDocument/2006/relationships/hyperlink" Target="https://www.zdlaw.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zdlaw.com/professionals-carol-j-patterson" TargetMode="External"/><Relationship Id="rId14" Type="http://schemas.openxmlformats.org/officeDocument/2006/relationships/hyperlink" Target="http://www.zd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8D866080690D499AB584423900F363" ma:contentTypeVersion="7" ma:contentTypeDescription="Create a new document." ma:contentTypeScope="" ma:versionID="85903aebb845f703617b1344a9e4bf86">
  <xsd:schema xmlns:xsd="http://www.w3.org/2001/XMLSchema" xmlns:xs="http://www.w3.org/2001/XMLSchema" xmlns:p="http://schemas.microsoft.com/office/2006/metadata/properties" xmlns:ns3="0989298b-b24f-404a-9123-168a44664926" xmlns:ns4="6e4be8ac-84a7-4198-bba2-976d0daeb0cc" targetNamespace="http://schemas.microsoft.com/office/2006/metadata/properties" ma:root="true" ma:fieldsID="428eb068e8a00e35db3114a23a2388b0" ns3:_="" ns4:_="">
    <xsd:import namespace="0989298b-b24f-404a-9123-168a44664926"/>
    <xsd:import namespace="6e4be8ac-84a7-4198-bba2-976d0daeb0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298b-b24f-404a-9123-168a4466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be8ac-84a7-4198-bba2-976d0daeb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F21D9-5BA2-47E5-BE9B-9CBF8800FF44}">
  <ds:schemaRefs>
    <ds:schemaRef ds:uri="http://schemas.microsoft.com/sharepoint/v3/contenttype/forms"/>
  </ds:schemaRefs>
</ds:datastoreItem>
</file>

<file path=customXml/itemProps2.xml><?xml version="1.0" encoding="utf-8"?>
<ds:datastoreItem xmlns:ds="http://schemas.openxmlformats.org/officeDocument/2006/customXml" ds:itemID="{A2BFDC8E-BF08-42EC-AEEF-B8D25590E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9298b-b24f-404a-9123-168a44664926"/>
    <ds:schemaRef ds:uri="6e4be8ac-84a7-4198-bba2-976d0daeb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C0826-C51C-4E8E-9BC9-D1D0FEFF1D4C}">
  <ds:schemaRefs>
    <ds:schemaRef ds:uri="http://schemas.microsoft.com/office/2006/documentManagement/types"/>
    <ds:schemaRef ds:uri="http://schemas.microsoft.com/office/infopath/2007/PartnerControls"/>
    <ds:schemaRef ds:uri="0989298b-b24f-404a-9123-168a44664926"/>
    <ds:schemaRef ds:uri="http://purl.org/dc/elements/1.1/"/>
    <ds:schemaRef ds:uri="http://schemas.microsoft.com/office/2006/metadata/properties"/>
    <ds:schemaRef ds:uri="http://purl.org/dc/terms/"/>
    <ds:schemaRef ds:uri="6e4be8ac-84a7-4198-bba2-976d0daeb0cc"/>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103F4D6-A328-467C-AD98-F3EDA835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Ilyse Fink</dc:creator>
  <cp:keywords/>
  <dc:description/>
  <cp:lastModifiedBy>Ilyse Fink</cp:lastModifiedBy>
  <cp:revision>3</cp:revision>
  <dcterms:created xsi:type="dcterms:W3CDTF">2019-10-03T18:12:00Z</dcterms:created>
  <dcterms:modified xsi:type="dcterms:W3CDTF">2019-10-03T18:16:00Z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0x0101000C8D866080690D499AB584423900F363</vt:lpwstr>
  </property>
</Properties>
</file>